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291</w:t>
      </w:r>
    </w:p>
    <w:p>
      <w:r>
        <w:t>Bundesgericht (BGE), 1995-11-08, DE</w:t>
      </w:r>
    </w:p>
    <w:p>
      <w:r>
        <w:rPr>
          <w:b/>
        </w:rPr>
        <w:t xml:space="preserve">Quelle: </w:t>
      </w:r>
      <w:r>
        <w:t>https://mcp.opencaselaw.ch/entscheid/bge_121 II 291</w:t>
      </w:r>
    </w:p>
    <w:p>
      <w:r>
        <w:t>FR: ATF 121 II 291</w:t>
      </w:r>
    </w:p>
    <w:p>
      <w:r>
        <w:t>IT: DTF 121 II 291</w:t>
      </w:r>
    </w:p>
    <w:p>
      <w:pPr>
        <w:pStyle w:val="Heading2"/>
      </w:pPr>
      <w:r>
        <w:t>Regeste</w:t>
      </w:r>
    </w:p>
    <w:p>
      <w:r>
        <w:t>Regeste Zuständigkeit zur Regelung der Kosten- und Entschädigungsfolgen im kombinierten eisenbahnrechtlichen Plangenehmigungs- und Enteignungsverfahren. Im kombinierten eisenbahnrechtlichen Plangenehmigungs- und Enteignungsverfahren hat grundsätzlich die zum Sachentscheid zuständige Instanz, also die Einsprachebehörde einerseits und die Eidgenössische Schätzungskommission bzw. deren Präsident andererseits, auch über die Kostenfolgen zu befinden. Wird mit der Erledigung der Einsprache indessen auch das Enteignungsverfahren hinfällig, ist die Behörde, die sich mit der Sache zuletzt befasst hat, zur abschliessenden Kostenregelung zuständig.</w:t>
      </w:r>
    </w:p>
    <w:p>
      <w:pPr>
        <w:pStyle w:val="Heading2"/>
      </w:pPr>
      <w:r>
        <w:t>Erwägungen</w:t>
      </w:r>
    </w:p>
    <w:p>
      <w:r>
        <w:rPr>
          <w:b/>
        </w:rPr>
        <w:t>E. 2</w:t>
      </w:r>
    </w:p>
    <w:p>
      <w:r>
        <w:t>Umstritten ist zunächst, wer nach dem Gegenstandsloswerden des Einsprache- und Enteignungsverfahrens zur Festsetzung der Parteientschädigungen zuständig gewesen sei, ob das BAV als Einsprachebehörde die Gesamtentschädigung hätte festlegen müssen oder ob der Präsident der Eidgenössischen Schätzungskommission seinerseits die auf das Entschädigungsverfahren entfallenden Parteikosten hätte bestimmen sollen. Wird die eisenbahnrechtliche Plangenehmigung im Sinne von Art. 20 lit. c und Art. 23 ff. der Verordnung über die Planvorlagen für Eisenbahnbauten vom 23. Dezember 1932 (PlVV; SR 742.142.1) mit einem Enteignungsverfahren kombiniert, so richtet sich das Verfahren grundsätzlich nach den Bestimmungen des Bundesgesetzes über die Enteignung (EntG, SR 711; vgl. Art. 24 Abs. 1 und Art. 25 Abs. 1 PlVV ). Danach sind innert der dreissigtägigen Frist, während der die Pläne und Verzeichnisse öffentlich aufliegen, nicht nur die Einsprachen gegen die Enteignung und die Begehren, die eine Planänderung bezwecken, sondern auch die Entschädigungsforderungen für die zu enteignenden Rechte anzumelden (Art. 30 Abs. 1 lit. a, b und c, Art. 35 und 36 EntG ). Nach Ablauf der Frist übermittelt die Gemeinde die Eingaben dem Präsidenten der Eidgenössischen Schätzungskommission, der das Einigungsverfahren durchführt ( Art. 45 EntG , Art. 26 Abs. 1 PlVV ). Während die Einsprachen, die in der Einigungsverhandlung strittig bleiben, anschliessend der Einsprachebehörde zum Entscheid übermittelt werden, bleibt das weitere Verfahren vor der Schätzungskommission auf die Behandlung der Entschädigungsfragen beschränkt ( Art. 26 Abs. 3 und Art. 33 PlVV , Art. 57 ff. EntG ). Aus dieser gesetzlichen Regelung ergibt sich, dass mit der Planauflage sowohl das (enteignungs- und eisenbahnrechtliche) Einspracheverfahren wie auch das Entschädigungsverfahren eröffnet werden, dass diese Verfahren bis zum Abschluss der Einigungsverhandlung nebeneinander verlaufen und sich die Verfahrenswege erst danach trennen. Ungeachtet dieser Zusammenlegung der Verfahren ist über die Kosten- und Entschädigungsfolgen des Einspracheverfahrens einerseits und des Entschädigungsverfahrens andererseits grundsätzlich getrennt zu entscheiden. Seit der Revision der Kostenbestimmungen des Enteignungsgesetzes im Jahre 1971 hat im Einspracheverfahren nicht mehr die Schätzungskommission (vgl. Art. 115 Abs. 1 EntG in der Fassung vom 20. Juni 1930), sondern die Einsprachebehörde BGE 121 II 291 S. 294 selbst über die Kosten und die Parteientschädigung zu bestimmen ( Art. 114 Abs. 4 und Art. 115 Abs. 4 EntG ); das heisst mit anderen Worten, dass die für den Sachentscheid zuständige Behörde auch die Kostenfolgen regeln soll (vgl. FRITZ HESS, Das Enteignungsrecht des Bundes, N. 3 zu Art. 115 aEntG; HESS/WEIBEL, Das Enteignungsrecht des Bundes, N. 11-14 zu Art. 114 EntG ). Dementsprechend hat das Bundesgericht schon verschiedentlich erkannt, dass die Einsprachebehörde über die Kosten- und Entschädigungsfolgen für das ganze Verfahren der Einsprachenbehandlung ab Planauflage zu entscheiden habe und die Eidgenössische Schätzungskommission zur nachträglichen Vergütung von Parteikosten für diesen Verfahrensteil nicht zuständig sei ( BGE 118 Ib 206 nicht publ. E. 16, nicht publ. Entscheide vom 8. Januar 1992 i.S. WWF und Mitbet. gegen Kanton Bern und Kanton Freiburg, E. 9, und vom 21. Mai 1987 i.S. NOK/SN gegen B. und Eidg. Schätzungskommission, Kreis 11, E. 2a). Wird indessen ein Verfahren vor dem Einsprachenentscheid oder durch diesen gegenstandslos, rechtfertigt sich aus prozessökonomischen Gründen nicht, zwei verschiedene Behörden - also auch die Instanz, die sich zur Zeit mit der Sache nicht befasst - zur Kostenregelung beizuziehen. So sieht das Enteignungsgesetz ausdrücklich vor, dass der Schätzungskommissions-Präsident, wenn das Verfahren mit der Einigungsverhandlung abgeschlossen wird, allein über die Kosten und die Entschädigungsfolgen bestimmt ( Art. 114 Abs. 4 Satz 2 EntG ), obschon er im Einspracheverfahren grundsätzlich keinerlei Entscheidbefugnisse hat (vgl. BGE 111 Ib 28 E. 2 mit Hinweisen). Analoges muss gelten, wenn das Verfahren, wie hier, vor der Einspracheinstanz erledigt wird und infolge der Einigung oder Gutheissung von Begehren auch das Entschädigungsverfahren vor der Schätzungskommission entfällt. Auch in diesem Falle muss die Kompetenz zur Kostenregelung allein bei der Behörde liegen, die sich mit der Sache zuletzt befasst hat. Es liesse sich mit dem Gebot der Verfahrensvereinfachung und -beschleunigung, das der Zusammenlegung von Plangenehmigungs-, Einsprache- und Landerwerbsverfahren zugrundeliegt, nur schlecht vereinbaren, wenn in dieser Situation der Schätzungskommissions-Präsident das Verfahren nochmals aufgreifen müsste, nur um einen ergänzenden Kostenentscheid zu fällen. Dass somit je nach Verfahrensstand einmal die Schätzungs- und ein anderes Mal die Einsprachebehörde über die Kostenfolgen eines vorweg erledigten Verfahrens zu befinden hat, ändert nichts an der Praktikabilität der BGE 121 II 291 S. 295 Lösung: Beide Instanzen haben die Kostenvorschriften des Enteignungsgesetzes anzuwenden, die für das Einsprache-, das Einigungs- und das Schätzungsverfahren die gleichen sind. Zudem stehen der mit der Sache befassten Instanz auch sämtliche Akten zur Verfügung, die sie für die Beurteilung der Kosten- und Entschädigungsfragen benötigt. Es ist daher mit den SBB und entgegen der Auffassung des EVED davon auszugehen, dass das BAV als Einsprachebehörde im vorliegenden Falle zuständig war, die Parteientschädigungen für das gesamte bisher durchgeführte Verfahren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